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1" w:rsidRPr="00BE764B" w:rsidRDefault="00465931" w:rsidP="00FB4CAB">
      <w:pPr>
        <w:spacing w:after="0"/>
        <w:ind w:firstLine="567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65931" w:rsidRPr="00BE764B" w:rsidRDefault="00465931" w:rsidP="00FB4CAB">
      <w:pPr>
        <w:spacing w:after="0"/>
        <w:ind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МЕМОРАНДУМ</w:t>
      </w:r>
    </w:p>
    <w:p w:rsidR="00465931" w:rsidRPr="00BE764B" w:rsidRDefault="00465931" w:rsidP="00FB4CAB">
      <w:pPr>
        <w:spacing w:after="0"/>
        <w:ind w:firstLine="567"/>
        <w:jc w:val="center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ЩОДО ЗАХИСТУ НЕПОВНОЛІТНІХ ПІД ЧАС НАДАННЯ ПРОГРАМНИХ ПОСЛУГ</w:t>
      </w:r>
    </w:p>
    <w:p w:rsidR="00465931" w:rsidRPr="00BE764B" w:rsidRDefault="00465931" w:rsidP="00FB4CAB">
      <w:pPr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465931" w:rsidRPr="00BE764B" w:rsidRDefault="00465931" w:rsidP="002308AB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 xml:space="preserve">Цей </w:t>
      </w:r>
      <w:r w:rsidRPr="00BE764B">
        <w:rPr>
          <w:rFonts w:asciiTheme="majorHAnsi" w:hAnsiTheme="majorHAnsi" w:cs="Times New Roman"/>
          <w:sz w:val="24"/>
          <w:szCs w:val="24"/>
          <w:lang w:val="ru-RU"/>
        </w:rPr>
        <w:t>Меморандум</w:t>
      </w:r>
      <w:r w:rsidRPr="00BE764B">
        <w:rPr>
          <w:rFonts w:asciiTheme="majorHAnsi" w:hAnsiTheme="majorHAnsi" w:cs="Times New Roman"/>
          <w:sz w:val="24"/>
          <w:szCs w:val="24"/>
        </w:rPr>
        <w:t xml:space="preserve"> є документом спільного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регулювання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BE764B">
        <w:rPr>
          <w:rFonts w:asciiTheme="majorHAnsi" w:hAnsiTheme="majorHAnsi" w:cs="Times New Roman"/>
          <w:sz w:val="24"/>
          <w:szCs w:val="24"/>
        </w:rPr>
        <w:t xml:space="preserve">та саморегулювання у сфері надання програмних послуг. </w:t>
      </w:r>
    </w:p>
    <w:p w:rsidR="00465931" w:rsidRPr="00BE764B" w:rsidRDefault="00465931" w:rsidP="002308AB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  <w:lang w:val="ru-RU"/>
        </w:rPr>
        <w:t>Меморандум</w:t>
      </w:r>
      <w:r w:rsidRPr="00BE764B">
        <w:rPr>
          <w:rFonts w:asciiTheme="majorHAnsi" w:hAnsiTheme="majorHAnsi" w:cs="Times New Roman"/>
          <w:sz w:val="24"/>
          <w:szCs w:val="24"/>
        </w:rPr>
        <w:t xml:space="preserve"> не поширює </w:t>
      </w:r>
      <w:proofErr w:type="gramStart"/>
      <w:r w:rsidRPr="00BE764B">
        <w:rPr>
          <w:rFonts w:asciiTheme="majorHAnsi" w:hAnsiTheme="majorHAnsi" w:cs="Times New Roman"/>
          <w:sz w:val="24"/>
          <w:szCs w:val="24"/>
        </w:rPr>
        <w:t>свою</w:t>
      </w:r>
      <w:proofErr w:type="gramEnd"/>
      <w:r w:rsidRPr="00BE764B">
        <w:rPr>
          <w:rFonts w:asciiTheme="majorHAnsi" w:hAnsiTheme="majorHAnsi" w:cs="Times New Roman"/>
          <w:sz w:val="24"/>
          <w:szCs w:val="24"/>
        </w:rPr>
        <w:t xml:space="preserve"> дію на правила розміщення реклами, спонсорство або діяльність телевізійних магазинів.</w:t>
      </w:r>
    </w:p>
    <w:p w:rsidR="00465931" w:rsidRPr="00BE764B" w:rsidRDefault="00465931" w:rsidP="007072F9">
      <w:pPr>
        <w:ind w:firstLine="567"/>
        <w:jc w:val="center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Преамбула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Будучи переконаними в необхідності об'єднання зусиль Національної ради України з питань телебачення і радіомовлення (далі – Національна рада), суспільства, представників професійних громадських об'єднань, усіх учасників ринку програмних послуг в Україні щодо захисту неповнолітніх під час надання програмних послуг;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вважаючи, що свобода самовираження та інформації, яку закріплено в статті 10 Конвенції про захист прав людини і основоположних свобод, є одним з важливих принципів демократичного суспільства та однією з основних умов його прогресу та розвитку кожної людини;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tabs>
          <w:tab w:val="left" w:pos="720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 xml:space="preserve">бажаючи розвивати принципи, які викладено в документах Ради Європи стосовно принципів захисту неповнолітніх під час надання програмних послуг і </w:t>
      </w:r>
      <w:r w:rsidRPr="00BE764B">
        <w:rPr>
          <w:rFonts w:asciiTheme="majorHAnsi" w:hAnsiTheme="majorHAnsi" w:cs="Times New Roman"/>
          <w:sz w:val="24"/>
          <w:szCs w:val="24"/>
          <w:u w:val="single"/>
        </w:rPr>
        <w:t xml:space="preserve">підтримуючи </w:t>
      </w:r>
      <w:r w:rsidRPr="00BE764B">
        <w:rPr>
          <w:rFonts w:asciiTheme="majorHAnsi" w:hAnsiTheme="majorHAnsi" w:cs="Times New Roman"/>
          <w:sz w:val="24"/>
          <w:szCs w:val="24"/>
        </w:rPr>
        <w:t xml:space="preserve">європейські традиції з вирішення суспільно важливих питань за допомогою саморегулювання та співрегулювання на національному рівні; 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ab/>
        <w:t>враховуючи, що згідно Плану імплементації Угоди на 2014-2017 роки про Асоціацію між Україною, з однієї сторони, та Європейським Союзом, Європейським співтовариством з атомної енергії і їхніми державами-членами з іншої сторони, Україна здійснює імплементацію Європейської конвенції про транскордонне телебачення та Директиви ЄС щодо аудіовізуальних медіа-послуг;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беручи до уваги прийняття Закону України «Про внесення змін до Закону України «Про захист суспільної моралі», яким виключаються положення щодо визначення статусу та засад діяльності Національної експертної комісії з питань захисту суспільної моралі, а також стан нормативно-правової бази у цій сфері правового регулювання,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 xml:space="preserve">на виконання Європейської конвенції про транскордонне телебачення, відповідно до статей 1, 39, 40, 42 Закону України «Про телебачення і радіомовлення», статей 13, 17, 24 Закону України «Про Національну раду України з питань телебачення і радіомовлення», Закону України «Про захист суспільної моралі» та Директиви Європейського Парламенту та Ради Європи 2010/13/ЄС від 10 березня 2010 року про узгодження певних положень, визначених законами, підзаконними актами та адміністративними положеннями у державах-членах стосовно надання аудіовізуальних медіа, </w:t>
      </w:r>
    </w:p>
    <w:p w:rsidR="00465931" w:rsidRPr="00BE764B" w:rsidRDefault="00465931" w:rsidP="0023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65931" w:rsidRPr="00BE764B" w:rsidRDefault="00465931" w:rsidP="002308AB">
      <w:pPr>
        <w:spacing w:before="100" w:beforeAutospacing="1"/>
        <w:ind w:firstLine="567"/>
        <w:jc w:val="both"/>
        <w:rPr>
          <w:rFonts w:asciiTheme="majorHAnsi" w:hAnsiTheme="majorHAnsi" w:cs="Times New Roman"/>
          <w:b/>
          <w:color w:val="auto"/>
          <w:sz w:val="24"/>
          <w:szCs w:val="24"/>
          <w:lang w:val="ru-RU" w:eastAsia="ru-RU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Сторони домовилися дотримуватись таких правил розповсюдження програм або їх частин, які можуть зашкодити фізичному, розумовому або моральному розвитку неповнолітніх (далі - Програм):</w:t>
      </w:r>
      <w:r w:rsidRPr="00BE764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465931" w:rsidRPr="00BE764B" w:rsidRDefault="00465931" w:rsidP="002308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lastRenderedPageBreak/>
        <w:t>Терміни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Меморандуму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вживаються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у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значеннях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Європейської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конвенції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про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транскордонне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телебачення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,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Законів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України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«Про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телебачення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і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радіомовлення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», «Про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захист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суспільної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BE764B">
        <w:rPr>
          <w:rFonts w:asciiTheme="majorHAnsi" w:hAnsiTheme="majorHAnsi" w:cs="Times New Roman"/>
          <w:sz w:val="24"/>
          <w:szCs w:val="24"/>
          <w:lang w:val="ru-RU"/>
        </w:rPr>
        <w:t>моралі</w:t>
      </w:r>
      <w:proofErr w:type="spellEnd"/>
      <w:r w:rsidRPr="00BE764B">
        <w:rPr>
          <w:rFonts w:asciiTheme="majorHAnsi" w:hAnsiTheme="majorHAnsi" w:cs="Times New Roman"/>
          <w:sz w:val="24"/>
          <w:szCs w:val="24"/>
          <w:lang w:val="ru-RU"/>
        </w:rPr>
        <w:t>».</w:t>
      </w:r>
    </w:p>
    <w:p w:rsidR="00465931" w:rsidRPr="00BE764B" w:rsidRDefault="00465931" w:rsidP="002308AB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465931" w:rsidRPr="00BE764B" w:rsidRDefault="00465931" w:rsidP="002308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BE764B">
        <w:rPr>
          <w:rFonts w:asciiTheme="majorHAnsi" w:hAnsiTheme="majorHAnsi" w:cs="Times New Roman"/>
          <w:color w:val="auto"/>
          <w:sz w:val="24"/>
          <w:szCs w:val="24"/>
        </w:rPr>
        <w:t xml:space="preserve">Сторони вживають належних заходів для забезпечення того, щоб телевізійні програми не містили будь-яких елементів, здатних істотним чином зашкодити фізичному, розумовому або моральному розвитку неповнолітніх, зокрема містити порнографію чи безпідставне насилля. </w:t>
      </w:r>
    </w:p>
    <w:p w:rsidR="00465931" w:rsidRPr="00BE764B" w:rsidRDefault="00465931" w:rsidP="002308AB">
      <w:pPr>
        <w:pStyle w:val="a3"/>
        <w:ind w:left="0" w:firstLine="567"/>
        <w:rPr>
          <w:rFonts w:asciiTheme="majorHAnsi" w:hAnsiTheme="majorHAnsi" w:cs="Times New Roman"/>
          <w:color w:val="auto"/>
          <w:sz w:val="24"/>
          <w:szCs w:val="24"/>
        </w:rPr>
      </w:pPr>
    </w:p>
    <w:p w:rsidR="00465931" w:rsidRPr="00BE764B" w:rsidRDefault="00465931" w:rsidP="002308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 xml:space="preserve">На звернення іноземного </w:t>
      </w:r>
      <w:proofErr w:type="spellStart"/>
      <w:r w:rsidRPr="00BE764B">
        <w:rPr>
          <w:rFonts w:asciiTheme="majorHAnsi" w:hAnsiTheme="majorHAnsi" w:cs="Times New Roman"/>
          <w:sz w:val="24"/>
          <w:szCs w:val="24"/>
        </w:rPr>
        <w:t>телемовника</w:t>
      </w:r>
      <w:proofErr w:type="spellEnd"/>
      <w:r w:rsidRPr="00BE764B">
        <w:rPr>
          <w:rFonts w:asciiTheme="majorHAnsi" w:hAnsiTheme="majorHAnsi" w:cs="Times New Roman"/>
          <w:sz w:val="24"/>
          <w:szCs w:val="24"/>
        </w:rPr>
        <w:t xml:space="preserve"> або його уповноваженої особи, Національна рада здійснює офіційний моніторинг Програм, за результатами якого приймає рішення про можливість та умови розповсюдження Програм на території України відповідно до законодавства України та цього </w:t>
      </w:r>
      <w:r w:rsidRPr="00BE764B">
        <w:rPr>
          <w:rFonts w:asciiTheme="majorHAnsi" w:hAnsiTheme="majorHAnsi" w:cs="Times New Roman"/>
          <w:sz w:val="24"/>
          <w:szCs w:val="24"/>
          <w:lang w:val="ru-RU"/>
        </w:rPr>
        <w:t>Меморандуму.</w:t>
      </w:r>
      <w:r w:rsidRPr="00BE764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5931" w:rsidRPr="00BE764B" w:rsidRDefault="00465931" w:rsidP="003A0A45">
      <w:pPr>
        <w:spacing w:after="0" w:line="240" w:lineRule="auto"/>
        <w:ind w:left="567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65931" w:rsidRPr="00BE764B" w:rsidRDefault="00465931" w:rsidP="002308A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Трансляція або ретрансляція Програм на території України здійснюється:</w:t>
      </w:r>
    </w:p>
    <w:p w:rsidR="00465931" w:rsidRPr="00BE764B" w:rsidRDefault="00465931" w:rsidP="002308A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Телерадіоорганізаціями походженням з країни Європейського Союзу, чи країни, яка ратифікувала Європейську конвенцію про транскордонне телебачення - на підставі ліцензії або документу, який видано компетентним регулюючим органом цих країн, та іншими телерадіоорганізаціями, відповідно до законодавства України та її міжнародних угод.</w:t>
      </w:r>
    </w:p>
    <w:p w:rsidR="00465931" w:rsidRPr="00BE764B" w:rsidRDefault="00465931" w:rsidP="002308A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Провайдерами програмної послуги, які отримали ліцензію Національної ради за умови дотримання відповідних рішень Національної ради про розповсюдження Програм та цього Меморандуму</w:t>
      </w:r>
      <w:r w:rsidRPr="00BE764B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465931" w:rsidRPr="00BE764B" w:rsidRDefault="00465931" w:rsidP="002308A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Іншими суб’єктами надання програмних послуг чи суб’єктами інформаційної діяльності, що приєдналися до цього Меморандуму</w:t>
      </w:r>
      <w:r w:rsidRPr="00BE764B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465931" w:rsidRPr="00BE764B" w:rsidRDefault="00465931" w:rsidP="0014641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65931" w:rsidRPr="00BE764B" w:rsidRDefault="00465931" w:rsidP="00A772DD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Трансляція або ретрансляція Програм на території України здійснюється  за умови, що Сторони забезпечують неможливість  їх прослуховування або перегляду за звичайних обставин неповнолітніми, а саме:</w:t>
      </w:r>
    </w:p>
    <w:p w:rsidR="00465931" w:rsidRPr="00BE764B" w:rsidRDefault="00465931" w:rsidP="00A772DD">
      <w:pPr>
        <w:pStyle w:val="a3"/>
        <w:tabs>
          <w:tab w:val="left" w:pos="72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5931" w:rsidRPr="00BE764B" w:rsidRDefault="00465931" w:rsidP="002308A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Коли трансляцію чи ретрансляцію Програм в некодованій формі обмежено часом з 24.00 до 4.00 годин, якщо інше скорочення часу трансляції не передбачено органами місцевого самоврядування</w:t>
      </w:r>
      <w:r w:rsidRPr="00BE764B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465931" w:rsidRPr="00BE764B" w:rsidRDefault="00465931" w:rsidP="002308A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Або сигнал Програм заблокований таким чином, щоб його прийом став неможливим без пристрою декодування.</w:t>
      </w:r>
    </w:p>
    <w:p w:rsidR="00465931" w:rsidRPr="00BE764B" w:rsidRDefault="00465931" w:rsidP="002308A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65931" w:rsidRPr="00BE764B" w:rsidRDefault="00465931" w:rsidP="002308AB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E764B">
        <w:rPr>
          <w:rFonts w:asciiTheme="majorHAnsi" w:hAnsiTheme="majorHAnsi" w:cs="Times New Roman"/>
          <w:b/>
          <w:sz w:val="24"/>
          <w:szCs w:val="24"/>
        </w:rPr>
        <w:t>Додаткові зобов'язання Сторін під час надання програмних послуг:</w:t>
      </w:r>
    </w:p>
    <w:p w:rsidR="00465931" w:rsidRPr="00BE764B" w:rsidRDefault="00465931" w:rsidP="00146419">
      <w:pPr>
        <w:pStyle w:val="a3"/>
        <w:tabs>
          <w:tab w:val="left" w:pos="72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5931" w:rsidRPr="00BE764B" w:rsidRDefault="00465931" w:rsidP="00A371DA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При замовленні послуги доступу до Програм (укладені договору), суб’єкт господарювання зобов'язаний попередити споживача передбаченим законодавством України  способом про необхідність обмеження перегляду Програм неповнолітніми.</w:t>
      </w:r>
    </w:p>
    <w:p w:rsidR="00465931" w:rsidRPr="00BE764B" w:rsidRDefault="00465931" w:rsidP="00E54B4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Інформування споживачів про можливість замовлення такої послуги здійснювати без включення у повідомлення відео- і звукових фрагментів Програм, будь-яких зображень і текстів, які можуть зашкодити фізичному, розумовому або моральному розвитку неповнолітніх.</w:t>
      </w:r>
    </w:p>
    <w:p w:rsidR="00465931" w:rsidRPr="00BE764B" w:rsidRDefault="00465931" w:rsidP="00E54B4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Реклама послуг з доступу до Програм забороняється.</w:t>
      </w:r>
    </w:p>
    <w:p w:rsidR="00465931" w:rsidRPr="00BE764B" w:rsidRDefault="00465931" w:rsidP="00E54B4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Не надавати послугу з доступу до Програм безкоштовно.</w:t>
      </w:r>
    </w:p>
    <w:p w:rsidR="00465931" w:rsidRPr="00BE764B" w:rsidRDefault="00465931" w:rsidP="00E54B4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BE764B">
        <w:rPr>
          <w:rFonts w:asciiTheme="majorHAnsi" w:hAnsiTheme="majorHAnsi" w:cs="Times New Roman"/>
          <w:sz w:val="24"/>
          <w:szCs w:val="24"/>
        </w:rPr>
        <w:t>Суб'єкти, які надають програмні послуги, можуть вживати додаткових заходів щодо обмежень при ретрансляції Програм.</w:t>
      </w:r>
    </w:p>
    <w:p w:rsidR="00465931" w:rsidRPr="00BE764B" w:rsidRDefault="00465931" w:rsidP="00E54B46">
      <w:pPr>
        <w:spacing w:after="0" w:line="240" w:lineRule="auto"/>
        <w:ind w:left="567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65931" w:rsidRDefault="00465931" w:rsidP="00FB4CAB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</w:pPr>
      <w:r w:rsidRPr="007072F9">
        <w:rPr>
          <w:rFonts w:asciiTheme="majorHAnsi" w:hAnsiTheme="majorHAnsi" w:cs="Times New Roman"/>
          <w:sz w:val="24"/>
          <w:szCs w:val="24"/>
        </w:rPr>
        <w:t>Цей Меморандум розроблений і підписаний представниками асоціацій,  запропонований для підписання і підтриманий суб’єктами господарювання, які ведуть господарську діяльність у сфері надання програмних послуг: ______________________________________</w:t>
      </w:r>
      <w:bookmarkStart w:id="0" w:name="h.gjdgxs" w:colFirst="0" w:colLast="0"/>
      <w:bookmarkStart w:id="1" w:name="_GoBack"/>
      <w:bookmarkEnd w:id="0"/>
      <w:bookmarkEnd w:id="1"/>
    </w:p>
    <w:sectPr w:rsidR="00465931" w:rsidSect="00FB4CAB">
      <w:pgSz w:w="11906" w:h="16838"/>
      <w:pgMar w:top="850" w:right="707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B1F"/>
    <w:multiLevelType w:val="multilevel"/>
    <w:tmpl w:val="8B3618DC"/>
    <w:lvl w:ilvl="0">
      <w:start w:val="1"/>
      <w:numFmt w:val="decimal"/>
      <w:lvlText w:val="%1."/>
      <w:lvlJc w:val="right"/>
      <w:pPr>
        <w:ind w:left="-256" w:firstLine="540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1626" w:firstLine="926"/>
      </w:pPr>
      <w:rPr>
        <w:rFonts w:cs="Times New Roman"/>
        <w:b w:val="0"/>
      </w:rPr>
    </w:lvl>
    <w:lvl w:ilvl="2">
      <w:start w:val="1"/>
      <w:numFmt w:val="decimal"/>
      <w:lvlText w:val="%1.%2.%3."/>
      <w:lvlJc w:val="right"/>
      <w:pPr>
        <w:ind w:left="2007" w:firstLine="1287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ind w:left="2727" w:firstLine="1647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ind w:left="3087" w:firstLine="2007"/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ind w:left="3807" w:firstLine="2367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ind w:left="4527" w:firstLine="2727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ind w:left="4887" w:firstLine="3087"/>
      </w:pPr>
      <w:rPr>
        <w:rFonts w:cs="Times New Roman"/>
      </w:rPr>
    </w:lvl>
    <w:lvl w:ilvl="8">
      <w:start w:val="1"/>
      <w:numFmt w:val="decimal"/>
      <w:lvlText w:val="%1.%2.%3.%4.%5.%6.%7.%8.%9."/>
      <w:lvlJc w:val="right"/>
      <w:pPr>
        <w:ind w:left="5607" w:firstLine="3447"/>
      </w:pPr>
      <w:rPr>
        <w:rFonts w:cs="Times New Roman"/>
      </w:rPr>
    </w:lvl>
  </w:abstractNum>
  <w:abstractNum w:abstractNumId="1">
    <w:nsid w:val="5AF06DEE"/>
    <w:multiLevelType w:val="multilevel"/>
    <w:tmpl w:val="78CA48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cs="Times New Roman" w:hint="default"/>
      </w:rPr>
    </w:lvl>
  </w:abstractNum>
  <w:abstractNum w:abstractNumId="2">
    <w:nsid w:val="6D594E8B"/>
    <w:multiLevelType w:val="multilevel"/>
    <w:tmpl w:val="F6245D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2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44" w:hanging="2160"/>
      </w:pPr>
      <w:rPr>
        <w:rFonts w:cs="Times New Roman" w:hint="default"/>
      </w:rPr>
    </w:lvl>
  </w:abstractNum>
  <w:abstractNum w:abstractNumId="3">
    <w:nsid w:val="7B2A3B35"/>
    <w:multiLevelType w:val="multilevel"/>
    <w:tmpl w:val="3A22A29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B"/>
    <w:rsid w:val="0004125F"/>
    <w:rsid w:val="000C1927"/>
    <w:rsid w:val="000F7FB7"/>
    <w:rsid w:val="00146419"/>
    <w:rsid w:val="00196AE7"/>
    <w:rsid w:val="002308AB"/>
    <w:rsid w:val="00254D66"/>
    <w:rsid w:val="003328CB"/>
    <w:rsid w:val="003A0A45"/>
    <w:rsid w:val="00465931"/>
    <w:rsid w:val="00540934"/>
    <w:rsid w:val="0057262D"/>
    <w:rsid w:val="00603AE9"/>
    <w:rsid w:val="00664237"/>
    <w:rsid w:val="00677313"/>
    <w:rsid w:val="007072F9"/>
    <w:rsid w:val="00724779"/>
    <w:rsid w:val="00734BAA"/>
    <w:rsid w:val="00851A35"/>
    <w:rsid w:val="00865509"/>
    <w:rsid w:val="00A371DA"/>
    <w:rsid w:val="00A772DD"/>
    <w:rsid w:val="00BE764B"/>
    <w:rsid w:val="00C654C7"/>
    <w:rsid w:val="00CC35E9"/>
    <w:rsid w:val="00D222DD"/>
    <w:rsid w:val="00DF5F6C"/>
    <w:rsid w:val="00E54B46"/>
    <w:rsid w:val="00FB4CAB"/>
    <w:rsid w:val="00FD52D5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B"/>
    <w:pPr>
      <w:spacing w:after="200" w:line="276" w:lineRule="auto"/>
    </w:pPr>
    <w:rPr>
      <w:rFonts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2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22DD"/>
    <w:rPr>
      <w:rFonts w:ascii="Segoe UI" w:hAnsi="Segoe UI" w:cs="Segoe UI"/>
      <w:color w:val="000000"/>
      <w:sz w:val="18"/>
      <w:szCs w:val="18"/>
      <w:lang w:val="uk-UA" w:eastAsia="uk-UA"/>
    </w:rPr>
  </w:style>
  <w:style w:type="character" w:styleId="a6">
    <w:name w:val="annotation reference"/>
    <w:uiPriority w:val="99"/>
    <w:semiHidden/>
    <w:rsid w:val="003328C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328CB"/>
    <w:pPr>
      <w:spacing w:line="240" w:lineRule="auto"/>
    </w:pPr>
    <w:rPr>
      <w:sz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3328CB"/>
    <w:rPr>
      <w:rFonts w:ascii="Calibri" w:hAnsi="Calibri" w:cs="Calibri"/>
      <w:color w:val="000000"/>
      <w:sz w:val="20"/>
      <w:szCs w:val="20"/>
      <w:lang w:val="uk-UA" w:eastAsia="uk-UA"/>
    </w:rPr>
  </w:style>
  <w:style w:type="paragraph" w:styleId="a9">
    <w:name w:val="annotation subject"/>
    <w:basedOn w:val="a7"/>
    <w:next w:val="a7"/>
    <w:link w:val="aa"/>
    <w:uiPriority w:val="99"/>
    <w:semiHidden/>
    <w:rsid w:val="003328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328CB"/>
    <w:rPr>
      <w:rFonts w:ascii="Calibri" w:hAnsi="Calibri" w:cs="Calibri"/>
      <w:b/>
      <w:bCs/>
      <w:color w:val="000000"/>
      <w:sz w:val="20"/>
      <w:szCs w:val="20"/>
      <w:lang w:val="uk-UA" w:eastAsia="uk-UA"/>
    </w:rPr>
  </w:style>
  <w:style w:type="paragraph" w:styleId="ab">
    <w:name w:val="Normal (Web)"/>
    <w:basedOn w:val="a"/>
    <w:uiPriority w:val="99"/>
    <w:semiHidden/>
    <w:rsid w:val="00A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B"/>
    <w:pPr>
      <w:spacing w:after="200" w:line="276" w:lineRule="auto"/>
    </w:pPr>
    <w:rPr>
      <w:rFonts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2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22DD"/>
    <w:rPr>
      <w:rFonts w:ascii="Segoe UI" w:hAnsi="Segoe UI" w:cs="Segoe UI"/>
      <w:color w:val="000000"/>
      <w:sz w:val="18"/>
      <w:szCs w:val="18"/>
      <w:lang w:val="uk-UA" w:eastAsia="uk-UA"/>
    </w:rPr>
  </w:style>
  <w:style w:type="character" w:styleId="a6">
    <w:name w:val="annotation reference"/>
    <w:uiPriority w:val="99"/>
    <w:semiHidden/>
    <w:rsid w:val="003328C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328CB"/>
    <w:pPr>
      <w:spacing w:line="240" w:lineRule="auto"/>
    </w:pPr>
    <w:rPr>
      <w:sz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3328CB"/>
    <w:rPr>
      <w:rFonts w:ascii="Calibri" w:hAnsi="Calibri" w:cs="Calibri"/>
      <w:color w:val="000000"/>
      <w:sz w:val="20"/>
      <w:szCs w:val="20"/>
      <w:lang w:val="uk-UA" w:eastAsia="uk-UA"/>
    </w:rPr>
  </w:style>
  <w:style w:type="paragraph" w:styleId="a9">
    <w:name w:val="annotation subject"/>
    <w:basedOn w:val="a7"/>
    <w:next w:val="a7"/>
    <w:link w:val="aa"/>
    <w:uiPriority w:val="99"/>
    <w:semiHidden/>
    <w:rsid w:val="003328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328CB"/>
    <w:rPr>
      <w:rFonts w:ascii="Calibri" w:hAnsi="Calibri" w:cs="Calibri"/>
      <w:b/>
      <w:bCs/>
      <w:color w:val="000000"/>
      <w:sz w:val="20"/>
      <w:szCs w:val="20"/>
      <w:lang w:val="uk-UA" w:eastAsia="uk-UA"/>
    </w:rPr>
  </w:style>
  <w:style w:type="paragraph" w:styleId="ab">
    <w:name w:val="Normal (Web)"/>
    <w:basedOn w:val="a"/>
    <w:uiPriority w:val="99"/>
    <w:semiHidden/>
    <w:rsid w:val="00A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Новак Анна</dc:creator>
  <cp:lastModifiedBy>Klitnaya</cp:lastModifiedBy>
  <cp:revision>3</cp:revision>
  <cp:lastPrinted>2015-04-27T09:05:00Z</cp:lastPrinted>
  <dcterms:created xsi:type="dcterms:W3CDTF">2015-04-27T09:02:00Z</dcterms:created>
  <dcterms:modified xsi:type="dcterms:W3CDTF">2015-04-27T09:06:00Z</dcterms:modified>
</cp:coreProperties>
</file>